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3A" w:rsidRDefault="003F723A" w:rsidP="003F723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Информация для субъектов малого бизнеса</w:t>
      </w:r>
    </w:p>
    <w:p w:rsidR="004D33FC" w:rsidRDefault="003F723A" w:rsidP="003F723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proofErr w:type="gramStart"/>
      <w:r>
        <w:rPr>
          <w:color w:val="000000"/>
          <w:sz w:val="27"/>
          <w:szCs w:val="27"/>
        </w:rPr>
        <w:t xml:space="preserve">В </w:t>
      </w:r>
      <w:r w:rsidR="004D33FC">
        <w:rPr>
          <w:color w:val="000000"/>
          <w:sz w:val="27"/>
          <w:szCs w:val="27"/>
        </w:rPr>
        <w:t>целях расширения доступа субъектов малого и среднего предпринимательства (МСП) к льготному финансированию принято постановление Правительства Российской Федерации от 8 мая 2019 г. № 571 «О внесении изменений в Правила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2019–2024 годах субъектам малого и среднего предпринимательства по льготной ставке» (далее соответственно – Правила, Программа</w:t>
      </w:r>
      <w:proofErr w:type="gramEnd"/>
      <w:r w:rsidR="004D33FC">
        <w:rPr>
          <w:color w:val="000000"/>
          <w:sz w:val="27"/>
          <w:szCs w:val="27"/>
        </w:rPr>
        <w:t xml:space="preserve"> </w:t>
      </w:r>
      <w:proofErr w:type="gramStart"/>
      <w:r w:rsidR="004D33FC">
        <w:rPr>
          <w:color w:val="000000"/>
          <w:sz w:val="27"/>
          <w:szCs w:val="27"/>
        </w:rPr>
        <w:t>льготного</w:t>
      </w:r>
      <w:proofErr w:type="gramEnd"/>
      <w:r w:rsidR="004D33FC">
        <w:rPr>
          <w:color w:val="000000"/>
          <w:sz w:val="27"/>
          <w:szCs w:val="27"/>
        </w:rPr>
        <w:t xml:space="preserve"> кредитования субъектов МСП).</w:t>
      </w:r>
    </w:p>
    <w:p w:rsidR="004D33FC" w:rsidRDefault="004D33FC" w:rsidP="004D33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Внесение изменений в Правила направлено на уточнение основных параметров Программы льготного кредитования субъектов МСП (процентная ставка 8,5%).</w:t>
      </w:r>
    </w:p>
    <w:p w:rsidR="004D33FC" w:rsidRDefault="004D33FC" w:rsidP="004D33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Упрощен доступ субъектов МСП при получении льготных кредитов. Принимая во внимание потребность среднего и малого бизнеса, в том числе </w:t>
      </w:r>
      <w:proofErr w:type="spellStart"/>
      <w:r>
        <w:rPr>
          <w:color w:val="000000"/>
          <w:sz w:val="27"/>
          <w:szCs w:val="27"/>
        </w:rPr>
        <w:t>микропредприятий</w:t>
      </w:r>
      <w:proofErr w:type="spellEnd"/>
      <w:r>
        <w:rPr>
          <w:color w:val="000000"/>
          <w:sz w:val="27"/>
          <w:szCs w:val="27"/>
        </w:rPr>
        <w:t>, в небольших суммах льготных кредитов, размер минимального кредита снижен с 3 млн. рублей до 500 тыс. рублей.</w:t>
      </w:r>
    </w:p>
    <w:p w:rsidR="004D33FC" w:rsidRDefault="004D33FC" w:rsidP="004D33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то же время со 100 млн. рублей до 500 млн. рублей повышен максимальный размер кредита на пополнение оборотных средств. В случае если заемщик получает кредит на инвестиционные цели в сфере туризма, то его максимальный размер может составлять до 2 млрд. рублей.</w:t>
      </w:r>
    </w:p>
    <w:p w:rsidR="004D33FC" w:rsidRDefault="004D33FC" w:rsidP="004D33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Также для заемщиков предусмотрено послабление в части обязательных условий получения кредитов в рамках постановления Правительства Российской Федерации от 30 декабря 2018 года № 1764: допускается наличие задолженности по налогам в размере не более 50 тыс. рублей.</w:t>
      </w:r>
    </w:p>
    <w:p w:rsidR="004D33FC" w:rsidRDefault="004D33FC" w:rsidP="004D33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 Правил исключено ограничение по обязательной доле инвестиционных кредитов в общем объеме кредитов, выданных системно значимыми кредитными организациями, что являлось сдерживающим фактором при выдаче льготных кредитов на пополнение оборотных средств.</w:t>
      </w:r>
    </w:p>
    <w:p w:rsidR="004D33FC" w:rsidRDefault="004D33FC" w:rsidP="004D33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Также из Правил исключено положение, устанавливающее минимальный размер процентной ставки по кредитам, выданным по кредитным договорам, заключаемым в рамках программы субсидирования. Со дня официального</w:t>
      </w:r>
      <w:r w:rsidR="003F723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опубликования изменений в Правила ставка для конечного </w:t>
      </w:r>
      <w:proofErr w:type="gramStart"/>
      <w:r>
        <w:rPr>
          <w:color w:val="000000"/>
          <w:sz w:val="27"/>
          <w:szCs w:val="27"/>
        </w:rPr>
        <w:t>заемщик</w:t>
      </w:r>
      <w:proofErr w:type="gramEnd"/>
      <w:r>
        <w:rPr>
          <w:color w:val="000000"/>
          <w:sz w:val="27"/>
          <w:szCs w:val="27"/>
        </w:rPr>
        <w:t xml:space="preserve"> а может быть ниже ключевой ставки Банка России.</w:t>
      </w:r>
    </w:p>
    <w:p w:rsidR="00237E4B" w:rsidRDefault="00237E4B"/>
    <w:sectPr w:rsidR="00237E4B" w:rsidSect="0023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3FC"/>
    <w:rsid w:val="00237E4B"/>
    <w:rsid w:val="003F723A"/>
    <w:rsid w:val="004D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1769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2019-06-03T14:16:00Z</dcterms:created>
  <dcterms:modified xsi:type="dcterms:W3CDTF">2019-06-05T13:00:00Z</dcterms:modified>
</cp:coreProperties>
</file>